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C142" w14:textId="2222F032" w:rsidR="00F347E8" w:rsidRPr="00653811" w:rsidRDefault="00AD3C65">
      <w:pPr>
        <w:pStyle w:val="Title"/>
        <w:rPr>
          <w:sz w:val="28"/>
          <w:szCs w:val="28"/>
        </w:rPr>
      </w:pPr>
      <w:r w:rsidRPr="00653811">
        <w:rPr>
          <w:sz w:val="28"/>
          <w:szCs w:val="28"/>
        </w:rPr>
        <w:t>SEC</w:t>
      </w:r>
      <w:r w:rsidRPr="00653811">
        <w:rPr>
          <w:spacing w:val="-4"/>
          <w:sz w:val="28"/>
          <w:szCs w:val="28"/>
        </w:rPr>
        <w:t xml:space="preserve"> </w:t>
      </w:r>
      <w:r w:rsidRPr="00653811">
        <w:rPr>
          <w:sz w:val="28"/>
          <w:szCs w:val="28"/>
        </w:rPr>
        <w:t>Rule</w:t>
      </w:r>
      <w:r w:rsidRPr="00653811">
        <w:rPr>
          <w:spacing w:val="-5"/>
          <w:sz w:val="28"/>
          <w:szCs w:val="28"/>
        </w:rPr>
        <w:t xml:space="preserve"> </w:t>
      </w:r>
      <w:r w:rsidR="00653811" w:rsidRPr="00653811">
        <w:rPr>
          <w:spacing w:val="-5"/>
          <w:sz w:val="28"/>
          <w:szCs w:val="28"/>
        </w:rPr>
        <w:t xml:space="preserve">605 and </w:t>
      </w:r>
      <w:r w:rsidRPr="00653811">
        <w:rPr>
          <w:sz w:val="28"/>
          <w:szCs w:val="28"/>
        </w:rPr>
        <w:t>606</w:t>
      </w:r>
      <w:r w:rsidRPr="00653811">
        <w:rPr>
          <w:spacing w:val="-1"/>
          <w:sz w:val="28"/>
          <w:szCs w:val="28"/>
        </w:rPr>
        <w:t xml:space="preserve"> </w:t>
      </w:r>
      <w:r w:rsidRPr="00653811">
        <w:rPr>
          <w:sz w:val="28"/>
          <w:szCs w:val="28"/>
        </w:rPr>
        <w:t>Order</w:t>
      </w:r>
      <w:r w:rsidRPr="00653811">
        <w:rPr>
          <w:spacing w:val="-3"/>
          <w:sz w:val="28"/>
          <w:szCs w:val="28"/>
        </w:rPr>
        <w:t xml:space="preserve"> </w:t>
      </w:r>
      <w:r w:rsidRPr="00653811">
        <w:rPr>
          <w:spacing w:val="-2"/>
          <w:sz w:val="28"/>
          <w:szCs w:val="28"/>
        </w:rPr>
        <w:t>Routing</w:t>
      </w:r>
    </w:p>
    <w:p w14:paraId="0B8AF6A3" w14:textId="77777777" w:rsidR="00653811" w:rsidRPr="00653811" w:rsidRDefault="00653811" w:rsidP="00653811">
      <w:pPr>
        <w:pStyle w:val="BodyText"/>
      </w:pPr>
      <w:r w:rsidRPr="00653811">
        <w:t>To make both the execution quality of the securities markets and order routing performance of brokerage firms available to the public, the Securities and Exchange Commission (SEC) adopted Rule 605 and Rule 606.</w:t>
      </w:r>
    </w:p>
    <w:p w14:paraId="6D248296" w14:textId="77777777" w:rsidR="00653811" w:rsidRPr="00653811" w:rsidRDefault="00653811" w:rsidP="00653811">
      <w:pPr>
        <w:pStyle w:val="BodyText"/>
      </w:pPr>
      <w:r w:rsidRPr="00653811">
        <w:rPr>
          <w:b/>
          <w:bCs/>
        </w:rPr>
        <w:t>Rule 605 --</w:t>
      </w:r>
      <w:r w:rsidRPr="00653811">
        <w:t xml:space="preserve"> Market centers that trade national market system securities and options must publicly disclose uniform statistical measures of order execution quality </w:t>
      </w:r>
      <w:proofErr w:type="gramStart"/>
      <w:r w:rsidRPr="00653811">
        <w:t>on a monthly basis</w:t>
      </w:r>
      <w:proofErr w:type="gramEnd"/>
      <w:r w:rsidRPr="00653811">
        <w:t>. The measures should include, but are not limited to, how market orders of various sizes are executed relative to the public quotes and information about spreads paid by investors.</w:t>
      </w:r>
    </w:p>
    <w:p w14:paraId="2CB29740" w14:textId="77777777" w:rsidR="00653811" w:rsidRPr="00653811" w:rsidRDefault="00653811" w:rsidP="00653811">
      <w:pPr>
        <w:pStyle w:val="BodyText"/>
      </w:pPr>
      <w:r w:rsidRPr="00653811">
        <w:rPr>
          <w:b/>
          <w:bCs/>
        </w:rPr>
        <w:t>Rule 606 --</w:t>
      </w:r>
      <w:r w:rsidRPr="00653811">
        <w:t> Broker/dealers must make quarterly reports available to the public, disclosing their order routing practices for orders that are not directed to specific exchanges and trading venues.</w:t>
      </w:r>
    </w:p>
    <w:p w14:paraId="4F6ED1F9" w14:textId="1B71BAC8" w:rsidR="00F347E8" w:rsidRDefault="00653811" w:rsidP="00AD3C65">
      <w:pPr>
        <w:pStyle w:val="BodyText"/>
      </w:pPr>
      <w:r w:rsidRPr="00653811">
        <w:t>Sanders Morris LLC</w:t>
      </w:r>
      <w:r>
        <w:t xml:space="preserve"> (‘SM”)</w:t>
      </w:r>
      <w:r w:rsidRPr="00653811">
        <w:t xml:space="preserve"> is not a market </w:t>
      </w:r>
      <w:r w:rsidR="00764214" w:rsidRPr="00653811">
        <w:t>center and</w:t>
      </w:r>
      <w:r w:rsidR="00764214">
        <w:t xml:space="preserve"> is</w:t>
      </w:r>
      <w:r w:rsidRPr="00653811">
        <w:t xml:space="preserve"> not subject to Rule 605 reporting. However, because </w:t>
      </w:r>
      <w:r w:rsidR="00764214">
        <w:t>SM</w:t>
      </w:r>
      <w:r w:rsidRPr="00653811">
        <w:t xml:space="preserve"> routes orders to executing and clearing firms who further route the orders to the trading venues, it is adopting the executing and clearing firm’s Rule 606 Order Routing Disclosure, since it fairly represents the routing statistics customers can expect with a standard order.</w:t>
      </w:r>
      <w:r w:rsidR="00AD3C65">
        <w:t xml:space="preserve"> Rule 606 requires Introducing Broker Dealers like SM that route nondirected</w:t>
      </w:r>
      <w:r w:rsidR="00AD3C65">
        <w:rPr>
          <w:spacing w:val="-4"/>
        </w:rPr>
        <w:t xml:space="preserve"> </w:t>
      </w:r>
      <w:r w:rsidR="00AD3C65">
        <w:t>order</w:t>
      </w:r>
      <w:r w:rsidR="00AD3C65">
        <w:rPr>
          <w:spacing w:val="-1"/>
        </w:rPr>
        <w:t xml:space="preserve"> </w:t>
      </w:r>
      <w:r w:rsidR="00AD3C65">
        <w:t>in</w:t>
      </w:r>
      <w:r w:rsidR="00AD3C65">
        <w:rPr>
          <w:spacing w:val="-4"/>
        </w:rPr>
        <w:t xml:space="preserve"> </w:t>
      </w:r>
      <w:r w:rsidR="00AD3C65">
        <w:t>equity and</w:t>
      </w:r>
      <w:r w:rsidR="00AD3C65">
        <w:rPr>
          <w:spacing w:val="-4"/>
        </w:rPr>
        <w:t xml:space="preserve"> </w:t>
      </w:r>
      <w:r w:rsidR="00AD3C65">
        <w:t>options</w:t>
      </w:r>
      <w:r w:rsidR="00AD3C65">
        <w:rPr>
          <w:spacing w:val="-1"/>
        </w:rPr>
        <w:t xml:space="preserve"> </w:t>
      </w:r>
      <w:r w:rsidR="00AD3C65">
        <w:t>securities</w:t>
      </w:r>
      <w:r w:rsidR="00AD3C65">
        <w:rPr>
          <w:spacing w:val="-1"/>
        </w:rPr>
        <w:t xml:space="preserve"> </w:t>
      </w:r>
      <w:r w:rsidR="00AD3C65">
        <w:t>to</w:t>
      </w:r>
      <w:r w:rsidR="00AD3C65">
        <w:rPr>
          <w:spacing w:val="-2"/>
        </w:rPr>
        <w:t xml:space="preserve"> </w:t>
      </w:r>
      <w:r w:rsidR="00AD3C65">
        <w:t>make the</w:t>
      </w:r>
      <w:r w:rsidR="00AD3C65">
        <w:rPr>
          <w:spacing w:val="-3"/>
        </w:rPr>
        <w:t xml:space="preserve"> </w:t>
      </w:r>
      <w:r w:rsidR="00AD3C65">
        <w:t>following</w:t>
      </w:r>
      <w:r w:rsidR="00AD3C65">
        <w:rPr>
          <w:spacing w:val="-2"/>
        </w:rPr>
        <w:t xml:space="preserve"> </w:t>
      </w:r>
      <w:r w:rsidR="00AD3C65">
        <w:t>information</w:t>
      </w:r>
      <w:r w:rsidR="00AD3C65">
        <w:rPr>
          <w:spacing w:val="-4"/>
        </w:rPr>
        <w:t xml:space="preserve"> </w:t>
      </w:r>
      <w:r w:rsidR="00AD3C65">
        <w:t xml:space="preserve">available to the </w:t>
      </w:r>
      <w:proofErr w:type="gramStart"/>
      <w:r w:rsidR="00AD3C65">
        <w:t>general public</w:t>
      </w:r>
      <w:proofErr w:type="gramEnd"/>
      <w:r w:rsidR="00AD3C65">
        <w:t>, via the internet, on a quarterly basis:</w:t>
      </w:r>
    </w:p>
    <w:p w14:paraId="697A24DB" w14:textId="5903606C" w:rsidR="00F347E8" w:rsidRDefault="00AD3C65">
      <w:pPr>
        <w:pStyle w:val="ListParagraph"/>
        <w:numPr>
          <w:ilvl w:val="0"/>
          <w:numId w:val="1"/>
        </w:numPr>
        <w:tabs>
          <w:tab w:val="left" w:pos="281"/>
        </w:tabs>
        <w:spacing w:before="160" w:line="259" w:lineRule="auto"/>
        <w:ind w:right="1028" w:firstLine="0"/>
      </w:pPr>
      <w:r>
        <w:t>The</w:t>
      </w:r>
      <w:r>
        <w:rPr>
          <w:spacing w:val="-2"/>
        </w:rPr>
        <w:t xml:space="preserve"> </w:t>
      </w:r>
      <w:r>
        <w:t>identity</w:t>
      </w:r>
      <w:r>
        <w:rPr>
          <w:spacing w:val="-2"/>
        </w:rPr>
        <w:t xml:space="preserve"> </w:t>
      </w:r>
      <w:r>
        <w:t>of</w:t>
      </w:r>
      <w:r>
        <w:rPr>
          <w:spacing w:val="-4"/>
        </w:rPr>
        <w:t xml:space="preserve"> </w:t>
      </w:r>
      <w:r>
        <w:t>the</w:t>
      </w:r>
      <w:r>
        <w:rPr>
          <w:spacing w:val="-4"/>
        </w:rPr>
        <w:t xml:space="preserve"> </w:t>
      </w:r>
      <w:r>
        <w:t>market</w:t>
      </w:r>
      <w:r>
        <w:rPr>
          <w:spacing w:val="-2"/>
        </w:rPr>
        <w:t xml:space="preserve"> </w:t>
      </w:r>
      <w:r>
        <w:t>centers</w:t>
      </w:r>
      <w:r>
        <w:rPr>
          <w:spacing w:val="-2"/>
        </w:rPr>
        <w:t xml:space="preserve"> </w:t>
      </w:r>
      <w:r>
        <w:t>receiving</w:t>
      </w:r>
      <w:r>
        <w:rPr>
          <w:spacing w:val="-3"/>
        </w:rPr>
        <w:t xml:space="preserve"> </w:t>
      </w:r>
      <w:r>
        <w:t>a</w:t>
      </w:r>
      <w:r>
        <w:rPr>
          <w:spacing w:val="-2"/>
        </w:rPr>
        <w:t xml:space="preserve"> </w:t>
      </w:r>
      <w:r>
        <w:t>significant</w:t>
      </w:r>
      <w:r>
        <w:rPr>
          <w:spacing w:val="-2"/>
        </w:rPr>
        <w:t xml:space="preserve"> </w:t>
      </w:r>
      <w:r>
        <w:t>portion</w:t>
      </w:r>
      <w:r>
        <w:rPr>
          <w:spacing w:val="40"/>
        </w:rPr>
        <w:t xml:space="preserve"> </w:t>
      </w:r>
      <w:r>
        <w:t>(as</w:t>
      </w:r>
      <w:r>
        <w:rPr>
          <w:spacing w:val="-2"/>
        </w:rPr>
        <w:t xml:space="preserve"> </w:t>
      </w:r>
      <w:r>
        <w:t>defined</w:t>
      </w:r>
      <w:r>
        <w:rPr>
          <w:spacing w:val="-3"/>
        </w:rPr>
        <w:t xml:space="preserve"> </w:t>
      </w:r>
      <w:r>
        <w:t>by</w:t>
      </w:r>
      <w:r>
        <w:rPr>
          <w:spacing w:val="-2"/>
        </w:rPr>
        <w:t xml:space="preserve"> </w:t>
      </w:r>
      <w:r>
        <w:t>the</w:t>
      </w:r>
      <w:r>
        <w:rPr>
          <w:spacing w:val="-4"/>
        </w:rPr>
        <w:t xml:space="preserve"> </w:t>
      </w:r>
      <w:r>
        <w:t>rule)</w:t>
      </w:r>
      <w:r>
        <w:rPr>
          <w:spacing w:val="-4"/>
        </w:rPr>
        <w:t xml:space="preserve"> </w:t>
      </w:r>
      <w:r>
        <w:t xml:space="preserve">of nondirected orders from SM and the respective percentage represented by </w:t>
      </w:r>
      <w:proofErr w:type="gramStart"/>
      <w:r>
        <w:t>each;</w:t>
      </w:r>
      <w:proofErr w:type="gramEnd"/>
    </w:p>
    <w:p w14:paraId="0DE4D8E0" w14:textId="7196FE93" w:rsidR="00F347E8" w:rsidRDefault="00AD3C65">
      <w:pPr>
        <w:pStyle w:val="ListParagraph"/>
        <w:numPr>
          <w:ilvl w:val="0"/>
          <w:numId w:val="1"/>
        </w:numPr>
        <w:tabs>
          <w:tab w:val="left" w:pos="281"/>
        </w:tabs>
        <w:ind w:left="280"/>
      </w:pPr>
      <w:r>
        <w:t>The</w:t>
      </w:r>
      <w:r>
        <w:rPr>
          <w:spacing w:val="-6"/>
        </w:rPr>
        <w:t xml:space="preserve"> </w:t>
      </w:r>
      <w:r>
        <w:t>nature</w:t>
      </w:r>
      <w:r>
        <w:rPr>
          <w:spacing w:val="-5"/>
        </w:rPr>
        <w:t xml:space="preserve"> </w:t>
      </w:r>
      <w:r>
        <w:t>of</w:t>
      </w:r>
      <w:r>
        <w:rPr>
          <w:spacing w:val="-4"/>
        </w:rPr>
        <w:t xml:space="preserve"> </w:t>
      </w:r>
      <w:r>
        <w:t>SM</w:t>
      </w:r>
      <w:r>
        <w:rPr>
          <w:spacing w:val="-5"/>
        </w:rPr>
        <w:t xml:space="preserve"> </w:t>
      </w:r>
      <w:r>
        <w:t>relationship</w:t>
      </w:r>
      <w:r>
        <w:rPr>
          <w:spacing w:val="-5"/>
        </w:rPr>
        <w:t xml:space="preserve"> </w:t>
      </w:r>
      <w:r>
        <w:t>with</w:t>
      </w:r>
      <w:r>
        <w:rPr>
          <w:spacing w:val="-7"/>
        </w:rPr>
        <w:t xml:space="preserve"> </w:t>
      </w:r>
      <w:r>
        <w:t>the</w:t>
      </w:r>
      <w:r>
        <w:rPr>
          <w:spacing w:val="-6"/>
        </w:rPr>
        <w:t xml:space="preserve"> </w:t>
      </w:r>
      <w:r>
        <w:t>market</w:t>
      </w:r>
      <w:r>
        <w:rPr>
          <w:spacing w:val="-6"/>
        </w:rPr>
        <w:t xml:space="preserve"> </w:t>
      </w:r>
      <w:r>
        <w:t>centers</w:t>
      </w:r>
      <w:r>
        <w:rPr>
          <w:spacing w:val="-4"/>
        </w:rPr>
        <w:t xml:space="preserve"> </w:t>
      </w:r>
      <w:r>
        <w:t>receiving</w:t>
      </w:r>
      <w:r>
        <w:rPr>
          <w:spacing w:val="-5"/>
        </w:rPr>
        <w:t xml:space="preserve"> </w:t>
      </w:r>
      <w:r>
        <w:t>your</w:t>
      </w:r>
      <w:r>
        <w:rPr>
          <w:spacing w:val="-4"/>
        </w:rPr>
        <w:t xml:space="preserve"> </w:t>
      </w:r>
      <w:r>
        <w:t>nondirected</w:t>
      </w:r>
      <w:r>
        <w:rPr>
          <w:spacing w:val="-6"/>
        </w:rPr>
        <w:t xml:space="preserve"> </w:t>
      </w:r>
      <w:proofErr w:type="gramStart"/>
      <w:r>
        <w:rPr>
          <w:spacing w:val="-2"/>
        </w:rPr>
        <w:t>orders;</w:t>
      </w:r>
      <w:proofErr w:type="gramEnd"/>
    </w:p>
    <w:p w14:paraId="1F60D1C2" w14:textId="77777777" w:rsidR="00F347E8" w:rsidRDefault="00AD3C65">
      <w:pPr>
        <w:pStyle w:val="ListParagraph"/>
        <w:numPr>
          <w:ilvl w:val="0"/>
          <w:numId w:val="1"/>
        </w:numPr>
        <w:tabs>
          <w:tab w:val="left" w:pos="281"/>
        </w:tabs>
        <w:spacing w:before="183"/>
        <w:ind w:left="280"/>
      </w:pPr>
      <w:r>
        <w:t>The</w:t>
      </w:r>
      <w:r>
        <w:rPr>
          <w:spacing w:val="-8"/>
        </w:rPr>
        <w:t xml:space="preserve"> </w:t>
      </w:r>
      <w:r>
        <w:t>material</w:t>
      </w:r>
      <w:r>
        <w:rPr>
          <w:spacing w:val="-4"/>
        </w:rPr>
        <w:t xml:space="preserve"> </w:t>
      </w:r>
      <w:r>
        <w:t>aspects</w:t>
      </w:r>
      <w:r>
        <w:rPr>
          <w:spacing w:val="-5"/>
        </w:rPr>
        <w:t xml:space="preserve"> </w:t>
      </w:r>
      <w:r>
        <w:t>of</w:t>
      </w:r>
      <w:r>
        <w:rPr>
          <w:spacing w:val="-6"/>
        </w:rPr>
        <w:t xml:space="preserve"> </w:t>
      </w:r>
      <w:r>
        <w:t>any</w:t>
      </w:r>
      <w:r>
        <w:rPr>
          <w:spacing w:val="-3"/>
        </w:rPr>
        <w:t xml:space="preserve"> </w:t>
      </w:r>
      <w:r>
        <w:t>internalization</w:t>
      </w:r>
      <w:r>
        <w:rPr>
          <w:spacing w:val="-6"/>
        </w:rPr>
        <w:t xml:space="preserve"> </w:t>
      </w:r>
      <w:r>
        <w:t>or</w:t>
      </w:r>
      <w:r>
        <w:rPr>
          <w:spacing w:val="-4"/>
        </w:rPr>
        <w:t xml:space="preserve"> </w:t>
      </w:r>
      <w:r>
        <w:t>payment</w:t>
      </w:r>
      <w:r>
        <w:rPr>
          <w:spacing w:val="-2"/>
        </w:rPr>
        <w:t xml:space="preserve"> </w:t>
      </w:r>
      <w:r>
        <w:t>for</w:t>
      </w:r>
      <w:r>
        <w:rPr>
          <w:spacing w:val="-4"/>
        </w:rPr>
        <w:t xml:space="preserve"> </w:t>
      </w:r>
      <w:r>
        <w:t>order</w:t>
      </w:r>
      <w:r>
        <w:rPr>
          <w:spacing w:val="-4"/>
        </w:rPr>
        <w:t xml:space="preserve"> </w:t>
      </w:r>
      <w:r>
        <w:t>flow</w:t>
      </w:r>
      <w:r>
        <w:rPr>
          <w:spacing w:val="-2"/>
        </w:rPr>
        <w:t xml:space="preserve"> arrangements;</w:t>
      </w:r>
    </w:p>
    <w:p w14:paraId="605BC4C9" w14:textId="77777777" w:rsidR="00F347E8" w:rsidRDefault="00AD3C65">
      <w:pPr>
        <w:pStyle w:val="ListParagraph"/>
        <w:numPr>
          <w:ilvl w:val="0"/>
          <w:numId w:val="1"/>
        </w:numPr>
        <w:tabs>
          <w:tab w:val="left" w:pos="332"/>
        </w:tabs>
        <w:spacing w:before="180" w:line="259" w:lineRule="auto"/>
        <w:ind w:left="119" w:right="113" w:firstLine="50"/>
      </w:pPr>
      <w:r>
        <w:t>To</w:t>
      </w:r>
      <w:r>
        <w:rPr>
          <w:spacing w:val="-1"/>
        </w:rPr>
        <w:t xml:space="preserve"> </w:t>
      </w:r>
      <w:r>
        <w:t>furnish</w:t>
      </w:r>
      <w:r>
        <w:rPr>
          <w:spacing w:val="-3"/>
        </w:rPr>
        <w:t xml:space="preserve"> </w:t>
      </w:r>
      <w:r>
        <w:t>clients</w:t>
      </w:r>
      <w:r>
        <w:rPr>
          <w:spacing w:val="-2"/>
        </w:rPr>
        <w:t xml:space="preserve"> </w:t>
      </w:r>
      <w:r>
        <w:t>upon</w:t>
      </w:r>
      <w:r>
        <w:rPr>
          <w:spacing w:val="-3"/>
        </w:rPr>
        <w:t xml:space="preserve"> </w:t>
      </w:r>
      <w:r>
        <w:t>request</w:t>
      </w:r>
      <w:r>
        <w:rPr>
          <w:spacing w:val="-1"/>
        </w:rPr>
        <w:t xml:space="preserve"> </w:t>
      </w:r>
      <w:r>
        <w:t>the</w:t>
      </w:r>
      <w:r>
        <w:rPr>
          <w:spacing w:val="-4"/>
        </w:rPr>
        <w:t xml:space="preserve"> </w:t>
      </w:r>
      <w:r>
        <w:t>venues</w:t>
      </w:r>
      <w:r>
        <w:rPr>
          <w:spacing w:val="-4"/>
        </w:rPr>
        <w:t xml:space="preserve"> </w:t>
      </w:r>
      <w:r>
        <w:t>to</w:t>
      </w:r>
      <w:r>
        <w:rPr>
          <w:spacing w:val="-3"/>
        </w:rPr>
        <w:t xml:space="preserve"> </w:t>
      </w:r>
      <w:r>
        <w:t>which</w:t>
      </w:r>
      <w:r>
        <w:rPr>
          <w:spacing w:val="-3"/>
        </w:rPr>
        <w:t xml:space="preserve"> </w:t>
      </w:r>
      <w:r>
        <w:t>individual</w:t>
      </w:r>
      <w:r>
        <w:rPr>
          <w:spacing w:val="-2"/>
        </w:rPr>
        <w:t xml:space="preserve"> </w:t>
      </w:r>
      <w:r>
        <w:t>orders</w:t>
      </w:r>
      <w:r>
        <w:rPr>
          <w:spacing w:val="-4"/>
        </w:rPr>
        <w:t xml:space="preserve"> </w:t>
      </w:r>
      <w:r>
        <w:t>were</w:t>
      </w:r>
      <w:r>
        <w:rPr>
          <w:spacing w:val="-1"/>
        </w:rPr>
        <w:t xml:space="preserve"> </w:t>
      </w:r>
      <w:r>
        <w:t>sent</w:t>
      </w:r>
      <w:r>
        <w:rPr>
          <w:spacing w:val="-1"/>
        </w:rPr>
        <w:t xml:space="preserve"> </w:t>
      </w:r>
      <w:r>
        <w:t>for</w:t>
      </w:r>
      <w:r>
        <w:rPr>
          <w:spacing w:val="-4"/>
        </w:rPr>
        <w:t xml:space="preserve"> </w:t>
      </w:r>
      <w:r>
        <w:t>execution</w:t>
      </w:r>
      <w:r>
        <w:rPr>
          <w:spacing w:val="-5"/>
        </w:rPr>
        <w:t xml:space="preserve"> </w:t>
      </w:r>
      <w:r>
        <w:t>for</w:t>
      </w:r>
      <w:r>
        <w:rPr>
          <w:spacing w:val="-4"/>
        </w:rPr>
        <w:t xml:space="preserve"> </w:t>
      </w:r>
      <w:r>
        <w:t>the previous six months; and</w:t>
      </w:r>
    </w:p>
    <w:p w14:paraId="3B992D89" w14:textId="77777777" w:rsidR="00F347E8" w:rsidRDefault="00AD3C65">
      <w:pPr>
        <w:pStyle w:val="ListParagraph"/>
        <w:numPr>
          <w:ilvl w:val="0"/>
          <w:numId w:val="1"/>
        </w:numPr>
        <w:tabs>
          <w:tab w:val="left" w:pos="281"/>
        </w:tabs>
        <w:ind w:left="280" w:hanging="162"/>
      </w:pPr>
      <w:r>
        <w:t>To</w:t>
      </w:r>
      <w:r>
        <w:rPr>
          <w:spacing w:val="-6"/>
        </w:rPr>
        <w:t xml:space="preserve"> </w:t>
      </w:r>
      <w:r>
        <w:t>provide</w:t>
      </w:r>
      <w:r>
        <w:rPr>
          <w:spacing w:val="-6"/>
        </w:rPr>
        <w:t xml:space="preserve"> </w:t>
      </w:r>
      <w:r>
        <w:t>an</w:t>
      </w:r>
      <w:r>
        <w:rPr>
          <w:spacing w:val="-5"/>
        </w:rPr>
        <w:t xml:space="preserve"> </w:t>
      </w:r>
      <w:r>
        <w:t>annual</w:t>
      </w:r>
      <w:r>
        <w:rPr>
          <w:spacing w:val="-5"/>
        </w:rPr>
        <w:t xml:space="preserve"> </w:t>
      </w:r>
      <w:r>
        <w:t>written</w:t>
      </w:r>
      <w:r>
        <w:rPr>
          <w:spacing w:val="-5"/>
        </w:rPr>
        <w:t xml:space="preserve"> </w:t>
      </w:r>
      <w:r>
        <w:t>notification</w:t>
      </w:r>
      <w:r>
        <w:rPr>
          <w:spacing w:val="-5"/>
        </w:rPr>
        <w:t xml:space="preserve"> </w:t>
      </w:r>
      <w:r>
        <w:t>to</w:t>
      </w:r>
      <w:r>
        <w:rPr>
          <w:spacing w:val="-4"/>
        </w:rPr>
        <w:t xml:space="preserve"> </w:t>
      </w:r>
      <w:r>
        <w:t>clients</w:t>
      </w:r>
      <w:r>
        <w:rPr>
          <w:spacing w:val="-4"/>
        </w:rPr>
        <w:t xml:space="preserve"> </w:t>
      </w:r>
      <w:r>
        <w:t>that</w:t>
      </w:r>
      <w:r>
        <w:rPr>
          <w:spacing w:val="-4"/>
        </w:rPr>
        <w:t xml:space="preserve"> </w:t>
      </w:r>
      <w:r>
        <w:t>this</w:t>
      </w:r>
      <w:r>
        <w:rPr>
          <w:spacing w:val="-4"/>
        </w:rPr>
        <w:t xml:space="preserve"> </w:t>
      </w:r>
      <w:r>
        <w:t>information</w:t>
      </w:r>
      <w:r>
        <w:rPr>
          <w:spacing w:val="-5"/>
        </w:rPr>
        <w:t xml:space="preserve"> </w:t>
      </w:r>
      <w:r>
        <w:t>is</w:t>
      </w:r>
      <w:r>
        <w:rPr>
          <w:spacing w:val="-5"/>
        </w:rPr>
        <w:t xml:space="preserve"> </w:t>
      </w:r>
      <w:r>
        <w:t>available</w:t>
      </w:r>
      <w:r>
        <w:rPr>
          <w:spacing w:val="-4"/>
        </w:rPr>
        <w:t xml:space="preserve"> </w:t>
      </w:r>
      <w:r>
        <w:t>upon</w:t>
      </w:r>
      <w:r>
        <w:rPr>
          <w:spacing w:val="-5"/>
        </w:rPr>
        <w:t xml:space="preserve"> </w:t>
      </w:r>
      <w:r>
        <w:rPr>
          <w:spacing w:val="-2"/>
        </w:rPr>
        <w:t>request.</w:t>
      </w:r>
    </w:p>
    <w:p w14:paraId="7E74A46D" w14:textId="77777777" w:rsidR="00F347E8" w:rsidRDefault="00AD3C65">
      <w:pPr>
        <w:pStyle w:val="BodyText"/>
        <w:spacing w:before="183" w:line="259" w:lineRule="auto"/>
      </w:pPr>
      <w:r>
        <w:t>The designated market makers to whom orders are automatically routed are selected based on the consistent high</w:t>
      </w:r>
      <w:r>
        <w:rPr>
          <w:spacing w:val="-2"/>
        </w:rPr>
        <w:t xml:space="preserve"> </w:t>
      </w:r>
      <w:r>
        <w:t>quality</w:t>
      </w:r>
      <w:r>
        <w:rPr>
          <w:spacing w:val="-2"/>
        </w:rPr>
        <w:t xml:space="preserve"> </w:t>
      </w:r>
      <w:r>
        <w:t>of</w:t>
      </w:r>
      <w:r>
        <w:rPr>
          <w:spacing w:val="-3"/>
        </w:rPr>
        <w:t xml:space="preserve"> </w:t>
      </w:r>
      <w:r>
        <w:t>their</w:t>
      </w:r>
      <w:r>
        <w:rPr>
          <w:spacing w:val="-1"/>
        </w:rPr>
        <w:t xml:space="preserve"> </w:t>
      </w:r>
      <w:r>
        <w:t>executions</w:t>
      </w:r>
      <w:r>
        <w:rPr>
          <w:spacing w:val="-1"/>
        </w:rPr>
        <w:t xml:space="preserve"> </w:t>
      </w:r>
      <w:r>
        <w:t>in</w:t>
      </w:r>
      <w:r>
        <w:rPr>
          <w:spacing w:val="-4"/>
        </w:rPr>
        <w:t xml:space="preserve"> </w:t>
      </w:r>
      <w:r>
        <w:t>one</w:t>
      </w:r>
      <w:r>
        <w:rPr>
          <w:spacing w:val="-3"/>
        </w:rPr>
        <w:t xml:space="preserve"> </w:t>
      </w:r>
      <w:r>
        <w:t>or</w:t>
      </w:r>
      <w:r>
        <w:rPr>
          <w:spacing w:val="-3"/>
        </w:rPr>
        <w:t xml:space="preserve"> </w:t>
      </w:r>
      <w:r>
        <w:t>more</w:t>
      </w:r>
      <w:r>
        <w:rPr>
          <w:spacing w:val="-3"/>
        </w:rPr>
        <w:t xml:space="preserve"> </w:t>
      </w:r>
      <w:r>
        <w:t>market</w:t>
      </w:r>
      <w:r>
        <w:rPr>
          <w:spacing w:val="-3"/>
        </w:rPr>
        <w:t xml:space="preserve"> </w:t>
      </w:r>
      <w:r>
        <w:t>segments</w:t>
      </w:r>
      <w:r>
        <w:rPr>
          <w:spacing w:val="-3"/>
        </w:rPr>
        <w:t xml:space="preserve"> </w:t>
      </w:r>
      <w:r>
        <w:t>and</w:t>
      </w:r>
      <w:r>
        <w:rPr>
          <w:spacing w:val="-2"/>
        </w:rPr>
        <w:t xml:space="preserve"> </w:t>
      </w:r>
      <w:r>
        <w:t>their</w:t>
      </w:r>
      <w:r>
        <w:rPr>
          <w:spacing w:val="-1"/>
        </w:rPr>
        <w:t xml:space="preserve"> </w:t>
      </w:r>
      <w:r>
        <w:t>history</w:t>
      </w:r>
      <w:r>
        <w:rPr>
          <w:spacing w:val="-3"/>
        </w:rPr>
        <w:t xml:space="preserve"> </w:t>
      </w:r>
      <w:r>
        <w:t>of</w:t>
      </w:r>
      <w:r>
        <w:rPr>
          <w:spacing w:val="-1"/>
        </w:rPr>
        <w:t xml:space="preserve"> </w:t>
      </w:r>
      <w:r>
        <w:t>seeking price improvements. Pershing LLC regularly reviews reports for quality of execution purposes.</w:t>
      </w:r>
    </w:p>
    <w:p w14:paraId="5BD4EA9F" w14:textId="36F39FE5" w:rsidR="00F347E8" w:rsidRDefault="00AD3C65">
      <w:pPr>
        <w:pStyle w:val="BodyText"/>
        <w:spacing w:line="256" w:lineRule="auto"/>
        <w:ind w:right="5"/>
      </w:pPr>
      <w:r>
        <w:t>To</w:t>
      </w:r>
      <w:r>
        <w:rPr>
          <w:spacing w:val="-1"/>
        </w:rPr>
        <w:t xml:space="preserve"> </w:t>
      </w:r>
      <w:r>
        <w:t>review</w:t>
      </w:r>
      <w:r>
        <w:rPr>
          <w:spacing w:val="-4"/>
        </w:rPr>
        <w:t xml:space="preserve"> </w:t>
      </w:r>
      <w:r>
        <w:t>our</w:t>
      </w:r>
      <w:r>
        <w:rPr>
          <w:spacing w:val="-4"/>
        </w:rPr>
        <w:t xml:space="preserve"> </w:t>
      </w:r>
      <w:r>
        <w:t>order</w:t>
      </w:r>
      <w:r>
        <w:rPr>
          <w:spacing w:val="-2"/>
        </w:rPr>
        <w:t xml:space="preserve"> </w:t>
      </w:r>
      <w:r>
        <w:t>routing</w:t>
      </w:r>
      <w:r>
        <w:rPr>
          <w:spacing w:val="-2"/>
        </w:rPr>
        <w:t xml:space="preserve"> </w:t>
      </w:r>
      <w:r>
        <w:t>information</w:t>
      </w:r>
      <w:r>
        <w:rPr>
          <w:spacing w:val="-5"/>
        </w:rPr>
        <w:t xml:space="preserve"> </w:t>
      </w:r>
      <w:r>
        <w:t>please</w:t>
      </w:r>
      <w:r>
        <w:rPr>
          <w:spacing w:val="-4"/>
        </w:rPr>
        <w:t xml:space="preserve"> </w:t>
      </w:r>
      <w:r>
        <w:t>click</w:t>
      </w:r>
      <w:r>
        <w:rPr>
          <w:spacing w:val="-4"/>
        </w:rPr>
        <w:t xml:space="preserve"> </w:t>
      </w:r>
      <w:r>
        <w:t>the</w:t>
      </w:r>
      <w:r>
        <w:rPr>
          <w:spacing w:val="-1"/>
        </w:rPr>
        <w:t xml:space="preserve"> </w:t>
      </w:r>
      <w:r>
        <w:t>link</w:t>
      </w:r>
      <w:r>
        <w:rPr>
          <w:spacing w:val="-1"/>
        </w:rPr>
        <w:t xml:space="preserve"> </w:t>
      </w:r>
      <w:r>
        <w:t>below.</w:t>
      </w:r>
      <w:r>
        <w:rPr>
          <w:spacing w:val="-5"/>
        </w:rPr>
        <w:t xml:space="preserve"> </w:t>
      </w:r>
      <w:r>
        <w:t>The</w:t>
      </w:r>
      <w:r>
        <w:rPr>
          <w:spacing w:val="-1"/>
        </w:rPr>
        <w:t xml:space="preserve"> </w:t>
      </w:r>
      <w:r>
        <w:t>Broker</w:t>
      </w:r>
      <w:r>
        <w:rPr>
          <w:spacing w:val="-2"/>
        </w:rPr>
        <w:t xml:space="preserve"> </w:t>
      </w:r>
      <w:r>
        <w:t>–</w:t>
      </w:r>
      <w:r>
        <w:rPr>
          <w:spacing w:val="-3"/>
        </w:rPr>
        <w:t xml:space="preserve"> </w:t>
      </w:r>
      <w:r>
        <w:t>Dealer</w:t>
      </w:r>
      <w:r>
        <w:rPr>
          <w:spacing w:val="-2"/>
        </w:rPr>
        <w:t xml:space="preserve"> </w:t>
      </w:r>
      <w:r>
        <w:t>Full</w:t>
      </w:r>
      <w:r>
        <w:rPr>
          <w:spacing w:val="-2"/>
        </w:rPr>
        <w:t xml:space="preserve"> </w:t>
      </w:r>
      <w:r>
        <w:t>Name should be “Sanders Morris LLC”.</w:t>
      </w:r>
    </w:p>
    <w:p w14:paraId="1239CDE0" w14:textId="77777777" w:rsidR="00F347E8" w:rsidRDefault="00000000">
      <w:pPr>
        <w:pStyle w:val="BodyText"/>
        <w:spacing w:before="164"/>
      </w:pPr>
      <w:hyperlink r:id="rId8">
        <w:r w:rsidR="00AD3C65">
          <w:rPr>
            <w:color w:val="00AFEF"/>
            <w:spacing w:val="-2"/>
          </w:rPr>
          <w:t>https://www.orderroutingdisclosure.com/</w:t>
        </w:r>
      </w:hyperlink>
    </w:p>
    <w:sectPr w:rsidR="00F347E8">
      <w:type w:val="continuous"/>
      <w:pgSz w:w="12240" w:h="15840"/>
      <w:pgMar w:top="140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34AAC"/>
    <w:multiLevelType w:val="multilevel"/>
    <w:tmpl w:val="B86A4A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8174E"/>
    <w:multiLevelType w:val="hybridMultilevel"/>
    <w:tmpl w:val="854E83BA"/>
    <w:lvl w:ilvl="0" w:tplc="0A3ACF48">
      <w:numFmt w:val="bullet"/>
      <w:lvlText w:val="•"/>
      <w:lvlJc w:val="left"/>
      <w:pPr>
        <w:ind w:left="120" w:hanging="161"/>
      </w:pPr>
      <w:rPr>
        <w:rFonts w:ascii="Calibri" w:eastAsia="Calibri" w:hAnsi="Calibri" w:cs="Calibri" w:hint="default"/>
        <w:b w:val="0"/>
        <w:bCs w:val="0"/>
        <w:i w:val="0"/>
        <w:iCs w:val="0"/>
        <w:w w:val="100"/>
        <w:sz w:val="22"/>
        <w:szCs w:val="22"/>
        <w:lang w:val="en-US" w:eastAsia="en-US" w:bidi="ar-SA"/>
      </w:rPr>
    </w:lvl>
    <w:lvl w:ilvl="1" w:tplc="AF48F272">
      <w:numFmt w:val="bullet"/>
      <w:lvlText w:val="•"/>
      <w:lvlJc w:val="left"/>
      <w:pPr>
        <w:ind w:left="1054" w:hanging="161"/>
      </w:pPr>
      <w:rPr>
        <w:rFonts w:hint="default"/>
        <w:lang w:val="en-US" w:eastAsia="en-US" w:bidi="ar-SA"/>
      </w:rPr>
    </w:lvl>
    <w:lvl w:ilvl="2" w:tplc="A2841BDC">
      <w:numFmt w:val="bullet"/>
      <w:lvlText w:val="•"/>
      <w:lvlJc w:val="left"/>
      <w:pPr>
        <w:ind w:left="1988" w:hanging="161"/>
      </w:pPr>
      <w:rPr>
        <w:rFonts w:hint="default"/>
        <w:lang w:val="en-US" w:eastAsia="en-US" w:bidi="ar-SA"/>
      </w:rPr>
    </w:lvl>
    <w:lvl w:ilvl="3" w:tplc="4036E8DA">
      <w:numFmt w:val="bullet"/>
      <w:lvlText w:val="•"/>
      <w:lvlJc w:val="left"/>
      <w:pPr>
        <w:ind w:left="2922" w:hanging="161"/>
      </w:pPr>
      <w:rPr>
        <w:rFonts w:hint="default"/>
        <w:lang w:val="en-US" w:eastAsia="en-US" w:bidi="ar-SA"/>
      </w:rPr>
    </w:lvl>
    <w:lvl w:ilvl="4" w:tplc="A630F448">
      <w:numFmt w:val="bullet"/>
      <w:lvlText w:val="•"/>
      <w:lvlJc w:val="left"/>
      <w:pPr>
        <w:ind w:left="3856" w:hanging="161"/>
      </w:pPr>
      <w:rPr>
        <w:rFonts w:hint="default"/>
        <w:lang w:val="en-US" w:eastAsia="en-US" w:bidi="ar-SA"/>
      </w:rPr>
    </w:lvl>
    <w:lvl w:ilvl="5" w:tplc="2F843850">
      <w:numFmt w:val="bullet"/>
      <w:lvlText w:val="•"/>
      <w:lvlJc w:val="left"/>
      <w:pPr>
        <w:ind w:left="4790" w:hanging="161"/>
      </w:pPr>
      <w:rPr>
        <w:rFonts w:hint="default"/>
        <w:lang w:val="en-US" w:eastAsia="en-US" w:bidi="ar-SA"/>
      </w:rPr>
    </w:lvl>
    <w:lvl w:ilvl="6" w:tplc="D7022666">
      <w:numFmt w:val="bullet"/>
      <w:lvlText w:val="•"/>
      <w:lvlJc w:val="left"/>
      <w:pPr>
        <w:ind w:left="5724" w:hanging="161"/>
      </w:pPr>
      <w:rPr>
        <w:rFonts w:hint="default"/>
        <w:lang w:val="en-US" w:eastAsia="en-US" w:bidi="ar-SA"/>
      </w:rPr>
    </w:lvl>
    <w:lvl w:ilvl="7" w:tplc="5CBC1290">
      <w:numFmt w:val="bullet"/>
      <w:lvlText w:val="•"/>
      <w:lvlJc w:val="left"/>
      <w:pPr>
        <w:ind w:left="6658" w:hanging="161"/>
      </w:pPr>
      <w:rPr>
        <w:rFonts w:hint="default"/>
        <w:lang w:val="en-US" w:eastAsia="en-US" w:bidi="ar-SA"/>
      </w:rPr>
    </w:lvl>
    <w:lvl w:ilvl="8" w:tplc="89B68C60">
      <w:numFmt w:val="bullet"/>
      <w:lvlText w:val="•"/>
      <w:lvlJc w:val="left"/>
      <w:pPr>
        <w:ind w:left="7592" w:hanging="161"/>
      </w:pPr>
      <w:rPr>
        <w:rFonts w:hint="default"/>
        <w:lang w:val="en-US" w:eastAsia="en-US" w:bidi="ar-SA"/>
      </w:rPr>
    </w:lvl>
  </w:abstractNum>
  <w:num w:numId="1" w16cid:durableId="2092265351">
    <w:abstractNumId w:val="1"/>
  </w:num>
  <w:num w:numId="2" w16cid:durableId="207461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E8"/>
    <w:rsid w:val="00405D96"/>
    <w:rsid w:val="00653811"/>
    <w:rsid w:val="00764214"/>
    <w:rsid w:val="007B0BF3"/>
    <w:rsid w:val="007D75FF"/>
    <w:rsid w:val="00AD3C65"/>
    <w:rsid w:val="00F3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3A9E"/>
  <w15:docId w15:val="{43447DBD-DE76-4CFF-A035-5D865DB7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19"/>
    </w:pPr>
  </w:style>
  <w:style w:type="paragraph" w:styleId="Title">
    <w:name w:val="Title"/>
    <w:basedOn w:val="Normal"/>
    <w:uiPriority w:val="10"/>
    <w:qFormat/>
    <w:pPr>
      <w:spacing w:before="39"/>
      <w:ind w:left="120"/>
    </w:pPr>
    <w:rPr>
      <w:b/>
      <w:bCs/>
    </w:rPr>
  </w:style>
  <w:style w:type="paragraph" w:styleId="ListParagraph">
    <w:name w:val="List Paragraph"/>
    <w:basedOn w:val="Normal"/>
    <w:uiPriority w:val="1"/>
    <w:qFormat/>
    <w:pPr>
      <w:spacing w:before="159"/>
      <w:ind w:left="280" w:hanging="1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derroutingdisclosur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4139784335947BFCF084AA7EA4FDD" ma:contentTypeVersion="8" ma:contentTypeDescription="Create a new document." ma:contentTypeScope="" ma:versionID="51a8b84909c3eb640a2cdb502e4913c6">
  <xsd:schema xmlns:xsd="http://www.w3.org/2001/XMLSchema" xmlns:xs="http://www.w3.org/2001/XMLSchema" xmlns:p="http://schemas.microsoft.com/office/2006/metadata/properties" xmlns:ns3="46526301-70a2-4f1f-8d55-cf3df07c5f31" targetNamespace="http://schemas.microsoft.com/office/2006/metadata/properties" ma:root="true" ma:fieldsID="483349f7893d9b82c7445166d16d3bcd" ns3:_="">
    <xsd:import namespace="46526301-70a2-4f1f-8d55-cf3df07c5f3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6301-70a2-4f1f-8d55-cf3df07c5f3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46526301-70a2-4f1f-8d55-cf3df07c5f31" xsi:nil="true"/>
    <MigrationWizIdSecurityGroups xmlns="46526301-70a2-4f1f-8d55-cf3df07c5f31" xsi:nil="true"/>
    <MigrationWizIdPermissionLevels xmlns="46526301-70a2-4f1f-8d55-cf3df07c5f31" xsi:nil="true"/>
    <MigrationWizId xmlns="46526301-70a2-4f1f-8d55-cf3df07c5f31" xsi:nil="true"/>
    <MigrationWizIdDocumentLibraryPermissions xmlns="46526301-70a2-4f1f-8d55-cf3df07c5f31" xsi:nil="true"/>
  </documentManagement>
</p:properties>
</file>

<file path=customXml/itemProps1.xml><?xml version="1.0" encoding="utf-8"?>
<ds:datastoreItem xmlns:ds="http://schemas.openxmlformats.org/officeDocument/2006/customXml" ds:itemID="{5E48F7BA-C8FB-468F-840F-5A2AF673D8B4}">
  <ds:schemaRefs>
    <ds:schemaRef ds:uri="http://schemas.microsoft.com/sharepoint/v3/contenttype/forms"/>
  </ds:schemaRefs>
</ds:datastoreItem>
</file>

<file path=customXml/itemProps2.xml><?xml version="1.0" encoding="utf-8"?>
<ds:datastoreItem xmlns:ds="http://schemas.openxmlformats.org/officeDocument/2006/customXml" ds:itemID="{1B9F88A5-8042-4FE2-B919-ED25A85D9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26301-70a2-4f1f-8d55-cf3df07c5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57182-94EE-4BB3-B0DA-F06DF8EB3E31}">
  <ds:schemaRefs>
    <ds:schemaRef ds:uri="http://schemas.microsoft.com/office/2006/metadata/properties"/>
    <ds:schemaRef ds:uri="http://schemas.microsoft.com/office/infopath/2007/PartnerControls"/>
    <ds:schemaRef ds:uri="46526301-70a2-4f1f-8d55-cf3df07c5f3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Mangold</dc:creator>
  <cp:lastModifiedBy>Steve Mangold</cp:lastModifiedBy>
  <cp:revision>4</cp:revision>
  <dcterms:created xsi:type="dcterms:W3CDTF">2024-01-09T17:13:00Z</dcterms:created>
  <dcterms:modified xsi:type="dcterms:W3CDTF">2024-01-09T17:16:00Z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20 for Word</vt:lpwstr>
  </property>
  <property fmtid="{D5CDD505-2E9C-101B-9397-08002B2CF9AE}" pid="4" name="LastSaved">
    <vt:filetime>2022-05-11T00:00:00Z</vt:filetime>
  </property>
  <property fmtid="{D5CDD505-2E9C-101B-9397-08002B2CF9AE}" pid="5" name="ContentTypeId">
    <vt:lpwstr>0x01010032D4139784335947BFCF084AA7EA4FDD</vt:lpwstr>
  </property>
</Properties>
</file>